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22" w:rsidRPr="0090032E" w:rsidRDefault="00C61622" w:rsidP="00C61622">
      <w:pPr>
        <w:spacing w:line="440" w:lineRule="exact"/>
        <w:jc w:val="center"/>
        <w:rPr>
          <w:rFonts w:ascii="標楷體" w:eastAsia="標楷體" w:hAnsi="標楷體"/>
          <w:b/>
          <w:sz w:val="32"/>
          <w:szCs w:val="32"/>
        </w:rPr>
      </w:pPr>
      <w:r w:rsidRPr="0090032E">
        <w:rPr>
          <w:rFonts w:ascii="標楷體" w:eastAsia="標楷體" w:hAnsi="標楷體" w:hint="eastAsia"/>
          <w:b/>
          <w:sz w:val="32"/>
          <w:szCs w:val="32"/>
        </w:rPr>
        <w:t>財團法人中華民國證券櫃檯買賣中心</w:t>
      </w:r>
    </w:p>
    <w:p w:rsidR="00C61622" w:rsidRPr="0090032E" w:rsidRDefault="00C61622" w:rsidP="00C61622">
      <w:pPr>
        <w:spacing w:line="440" w:lineRule="exact"/>
        <w:jc w:val="center"/>
        <w:rPr>
          <w:rFonts w:ascii="標楷體" w:eastAsia="標楷體" w:hAnsi="標楷體"/>
          <w:b/>
          <w:sz w:val="32"/>
          <w:szCs w:val="32"/>
        </w:rPr>
      </w:pPr>
      <w:r w:rsidRPr="0090032E">
        <w:rPr>
          <w:rFonts w:ascii="標楷體" w:eastAsia="標楷體" w:hAnsi="標楷體"/>
          <w:b/>
          <w:sz w:val="32"/>
          <w:szCs w:val="32"/>
        </w:rPr>
        <w:t>櫃檯買賣有價證券開戶契約</w:t>
      </w:r>
      <w:r w:rsidRPr="0090032E">
        <w:rPr>
          <w:rFonts w:ascii="標楷體" w:eastAsia="標楷體" w:hAnsi="標楷體" w:hint="eastAsia"/>
          <w:b/>
          <w:sz w:val="32"/>
          <w:szCs w:val="32"/>
        </w:rPr>
        <w:t>第五條修正條文對照表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251"/>
        <w:gridCol w:w="3251"/>
      </w:tblGrid>
      <w:tr w:rsidR="00C61622" w:rsidRPr="00987763" w:rsidTr="00C61622">
        <w:trPr>
          <w:trHeight w:val="521"/>
          <w:jc w:val="center"/>
        </w:trPr>
        <w:tc>
          <w:tcPr>
            <w:tcW w:w="3251" w:type="dxa"/>
            <w:vAlign w:val="center"/>
          </w:tcPr>
          <w:p w:rsidR="00C61622" w:rsidRPr="00987763" w:rsidRDefault="00C61622" w:rsidP="00514E52">
            <w:pPr>
              <w:contextualSpacing/>
              <w:jc w:val="center"/>
              <w:rPr>
                <w:rFonts w:ascii="標楷體" w:eastAsia="標楷體" w:hAnsi="標楷體"/>
                <w:szCs w:val="24"/>
              </w:rPr>
            </w:pPr>
            <w:r w:rsidRPr="00987763">
              <w:rPr>
                <w:rFonts w:ascii="標楷體" w:eastAsia="標楷體" w:hAnsi="標楷體" w:hint="eastAsia"/>
                <w:szCs w:val="24"/>
              </w:rPr>
              <w:t>修正條文</w:t>
            </w:r>
          </w:p>
        </w:tc>
        <w:tc>
          <w:tcPr>
            <w:tcW w:w="3251" w:type="dxa"/>
            <w:vAlign w:val="center"/>
          </w:tcPr>
          <w:p w:rsidR="00C61622" w:rsidRPr="00987763" w:rsidRDefault="00C61622" w:rsidP="00514E52">
            <w:pPr>
              <w:contextualSpacing/>
              <w:jc w:val="center"/>
              <w:rPr>
                <w:rFonts w:ascii="標楷體" w:eastAsia="標楷體" w:hAnsi="標楷體"/>
                <w:szCs w:val="24"/>
              </w:rPr>
            </w:pPr>
            <w:r w:rsidRPr="00987763">
              <w:rPr>
                <w:rFonts w:ascii="標楷體" w:eastAsia="標楷體" w:hAnsi="標楷體" w:hint="eastAsia"/>
                <w:szCs w:val="24"/>
              </w:rPr>
              <w:t>現行條文</w:t>
            </w:r>
          </w:p>
        </w:tc>
        <w:tc>
          <w:tcPr>
            <w:tcW w:w="3251" w:type="dxa"/>
            <w:vAlign w:val="center"/>
          </w:tcPr>
          <w:p w:rsidR="00C61622" w:rsidRPr="00987763" w:rsidRDefault="00C61622" w:rsidP="00514E52">
            <w:pPr>
              <w:jc w:val="center"/>
              <w:rPr>
                <w:rFonts w:ascii="標楷體" w:eastAsia="標楷體" w:hAnsi="標楷體"/>
                <w:szCs w:val="24"/>
              </w:rPr>
            </w:pPr>
            <w:r w:rsidRPr="00987763">
              <w:rPr>
                <w:rFonts w:ascii="標楷體" w:eastAsia="標楷體" w:hAnsi="標楷體" w:hint="eastAsia"/>
                <w:szCs w:val="24"/>
              </w:rPr>
              <w:t>說  明</w:t>
            </w:r>
          </w:p>
        </w:tc>
      </w:tr>
      <w:tr w:rsidR="00C61622" w:rsidRPr="00987763" w:rsidTr="00C61622">
        <w:trPr>
          <w:jc w:val="center"/>
        </w:trPr>
        <w:tc>
          <w:tcPr>
            <w:tcW w:w="3251" w:type="dxa"/>
          </w:tcPr>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r w:rsidRPr="00987763">
              <w:rPr>
                <w:rFonts w:ascii="標楷體" w:eastAsia="標楷體" w:hAnsi="標楷體"/>
                <w:szCs w:val="24"/>
              </w:rPr>
              <w:t>第</w:t>
            </w:r>
            <w:r w:rsidRPr="00987763">
              <w:rPr>
                <w:rFonts w:ascii="標楷體" w:eastAsia="標楷體" w:hAnsi="標楷體" w:hint="eastAsia"/>
                <w:szCs w:val="24"/>
              </w:rPr>
              <w:t>五</w:t>
            </w:r>
            <w:r w:rsidRPr="00987763">
              <w:rPr>
                <w:rFonts w:ascii="標楷體" w:eastAsia="標楷體" w:hAnsi="標楷體"/>
                <w:szCs w:val="24"/>
              </w:rPr>
              <w:t>條</w:t>
            </w:r>
          </w:p>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r w:rsidRPr="00E16FD3">
              <w:rPr>
                <w:rFonts w:ascii="標楷體" w:eastAsia="標楷體" w:hAnsi="標楷體" w:cs="細明體"/>
                <w:kern w:val="0"/>
                <w:szCs w:val="24"/>
              </w:rPr>
              <w:t>乙方以經紀方式為櫃檯買賣者，應於成交時製發買賣報告書交由甲方簽章</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甲方已簽立給付結算款</w:t>
            </w:r>
            <w:proofErr w:type="gramStart"/>
            <w:r w:rsidRPr="00E16FD3">
              <w:rPr>
                <w:rFonts w:ascii="標楷體" w:eastAsia="標楷體" w:hAnsi="標楷體" w:cs="細明體"/>
                <w:kern w:val="0"/>
                <w:szCs w:val="24"/>
              </w:rPr>
              <w:t>券</w:t>
            </w:r>
            <w:proofErr w:type="gramEnd"/>
            <w:r w:rsidRPr="00E16FD3">
              <w:rPr>
                <w:rFonts w:ascii="標楷體" w:eastAsia="標楷體" w:hAnsi="標楷體" w:cs="細明體"/>
                <w:kern w:val="0"/>
                <w:szCs w:val="24"/>
              </w:rPr>
              <w:t>轉撥同意書或依法令規章得以</w:t>
            </w:r>
            <w:proofErr w:type="gramStart"/>
            <w:r w:rsidRPr="00E16FD3">
              <w:rPr>
                <w:rFonts w:ascii="標楷體" w:eastAsia="標楷體" w:hAnsi="標楷體" w:cs="細明體"/>
                <w:kern w:val="0"/>
                <w:szCs w:val="24"/>
              </w:rPr>
              <w:t>匯</w:t>
            </w:r>
            <w:proofErr w:type="gramEnd"/>
            <w:r w:rsidRPr="00E16FD3">
              <w:rPr>
                <w:rFonts w:ascii="標楷體" w:eastAsia="標楷體" w:hAnsi="標楷體" w:cs="細明體"/>
                <w:kern w:val="0"/>
                <w:szCs w:val="24"/>
              </w:rPr>
              <w:t>撥</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匯款</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方式收受或交付價金者，得免簽章</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，乙方應收受或交付甲方之價金，除依法令規章得以</w:t>
            </w:r>
            <w:proofErr w:type="gramStart"/>
            <w:r w:rsidRPr="00E16FD3">
              <w:rPr>
                <w:rFonts w:ascii="標楷體" w:eastAsia="標楷體" w:hAnsi="標楷體" w:cs="細明體"/>
                <w:kern w:val="0"/>
                <w:szCs w:val="24"/>
              </w:rPr>
              <w:t>匯</w:t>
            </w:r>
            <w:proofErr w:type="gramEnd"/>
            <w:r w:rsidRPr="00E16FD3">
              <w:rPr>
                <w:rFonts w:ascii="標楷體" w:eastAsia="標楷體" w:hAnsi="標楷體" w:cs="細明體"/>
                <w:kern w:val="0"/>
                <w:szCs w:val="24"/>
              </w:rPr>
              <w:t>撥（匯款）方式收受或交付價金者外，一律透過甲方在金融機構存款帳戶辦理；其應收或交付甲方之有價證券並依據證券集中保管事業業務操作辦法辦理。</w:t>
            </w:r>
          </w:p>
          <w:p w:rsidR="00C61622" w:rsidRPr="00E16FD3"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E16FD3">
              <w:rPr>
                <w:rFonts w:ascii="標楷體" w:eastAsia="標楷體" w:hAnsi="標楷體" w:cs="細明體"/>
                <w:kern w:val="0"/>
                <w:szCs w:val="24"/>
              </w:rPr>
              <w:t>乙方以經紀方式為櫃檯買賣者，應於成交日後第二營業日上午十時前向甲方收取買進證券之價金或賣出之證券</w:t>
            </w:r>
            <w:r w:rsidRPr="00987763">
              <w:rPr>
                <w:rFonts w:ascii="標楷體" w:eastAsia="標楷體" w:hAnsi="標楷體" w:hint="eastAsia"/>
                <w:szCs w:val="24"/>
                <w:u w:val="single"/>
              </w:rPr>
              <w:t>或依「有價證券當日沖銷交易作業辦法」收取買賣沖銷後之差價</w:t>
            </w:r>
            <w:r w:rsidRPr="00987763">
              <w:rPr>
                <w:rFonts w:ascii="標楷體" w:eastAsia="標楷體" w:hAnsi="標楷體" w:hint="eastAsia"/>
                <w:szCs w:val="24"/>
              </w:rPr>
              <w:t>。</w:t>
            </w:r>
            <w:proofErr w:type="gramStart"/>
            <w:r w:rsidRPr="00E16FD3">
              <w:rPr>
                <w:rFonts w:ascii="標楷體" w:eastAsia="標楷體" w:hAnsi="標楷體" w:cs="細明體"/>
                <w:kern w:val="0"/>
                <w:szCs w:val="24"/>
              </w:rPr>
              <w:t>但甲方</w:t>
            </w:r>
            <w:proofErr w:type="gramEnd"/>
            <w:r w:rsidRPr="00E16FD3">
              <w:rPr>
                <w:rFonts w:ascii="標楷體" w:eastAsia="標楷體" w:hAnsi="標楷體" w:cs="細明體"/>
                <w:kern w:val="0"/>
                <w:szCs w:val="24"/>
              </w:rPr>
              <w:t>如為境外華僑或外國人者，乙方向櫃檯中心申報遲延給付結算，應依櫃檯中心訂定之「櫃檯買賣證券經紀商申報客戶遲延給付結算及違約案處理作業要點」規定辦理。</w:t>
            </w:r>
          </w:p>
          <w:p w:rsidR="00C61622" w:rsidRPr="00987763"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szCs w:val="24"/>
              </w:rPr>
            </w:pPr>
            <w:r w:rsidRPr="00E16FD3">
              <w:rPr>
                <w:rFonts w:ascii="標楷體" w:eastAsia="標楷體" w:hAnsi="標楷體" w:cs="細明體"/>
                <w:kern w:val="0"/>
                <w:szCs w:val="24"/>
              </w:rPr>
              <w:t>乙方接受信用交易之買賣委託，應於成交日後第二營業日上午十時前，向甲方依規定收取融資自備價款或融券保證金。</w:t>
            </w:r>
          </w:p>
        </w:tc>
        <w:tc>
          <w:tcPr>
            <w:tcW w:w="3251" w:type="dxa"/>
          </w:tcPr>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r w:rsidRPr="00987763">
              <w:rPr>
                <w:rFonts w:ascii="標楷體" w:eastAsia="標楷體" w:hAnsi="標楷體"/>
                <w:szCs w:val="24"/>
              </w:rPr>
              <w:t>第</w:t>
            </w:r>
            <w:r w:rsidRPr="00987763">
              <w:rPr>
                <w:rFonts w:ascii="標楷體" w:eastAsia="標楷體" w:hAnsi="標楷體" w:hint="eastAsia"/>
                <w:szCs w:val="24"/>
              </w:rPr>
              <w:t>五</w:t>
            </w:r>
            <w:r w:rsidRPr="00987763">
              <w:rPr>
                <w:rFonts w:ascii="標楷體" w:eastAsia="標楷體" w:hAnsi="標楷體"/>
                <w:szCs w:val="24"/>
              </w:rPr>
              <w:t>條</w:t>
            </w:r>
          </w:p>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r w:rsidRPr="00E16FD3">
              <w:rPr>
                <w:rFonts w:ascii="標楷體" w:eastAsia="標楷體" w:hAnsi="標楷體" w:cs="細明體"/>
                <w:kern w:val="0"/>
                <w:szCs w:val="24"/>
              </w:rPr>
              <w:t>乙方以經紀方式為櫃檯買賣者，應於成交時製發買賣報告書交由甲方簽章</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甲方已簽立給付結算款</w:t>
            </w:r>
            <w:proofErr w:type="gramStart"/>
            <w:r w:rsidRPr="00E16FD3">
              <w:rPr>
                <w:rFonts w:ascii="標楷體" w:eastAsia="標楷體" w:hAnsi="標楷體" w:cs="細明體"/>
                <w:kern w:val="0"/>
                <w:szCs w:val="24"/>
              </w:rPr>
              <w:t>券</w:t>
            </w:r>
            <w:proofErr w:type="gramEnd"/>
            <w:r w:rsidRPr="00E16FD3">
              <w:rPr>
                <w:rFonts w:ascii="標楷體" w:eastAsia="標楷體" w:hAnsi="標楷體" w:cs="細明體"/>
                <w:kern w:val="0"/>
                <w:szCs w:val="24"/>
              </w:rPr>
              <w:t>轉撥同意書或依法令規章得以</w:t>
            </w:r>
            <w:proofErr w:type="gramStart"/>
            <w:r w:rsidRPr="00E16FD3">
              <w:rPr>
                <w:rFonts w:ascii="標楷體" w:eastAsia="標楷體" w:hAnsi="標楷體" w:cs="細明體"/>
                <w:kern w:val="0"/>
                <w:szCs w:val="24"/>
              </w:rPr>
              <w:t>匯</w:t>
            </w:r>
            <w:proofErr w:type="gramEnd"/>
            <w:r w:rsidRPr="00E16FD3">
              <w:rPr>
                <w:rFonts w:ascii="標楷體" w:eastAsia="標楷體" w:hAnsi="標楷體" w:cs="細明體"/>
                <w:kern w:val="0"/>
                <w:szCs w:val="24"/>
              </w:rPr>
              <w:t>撥</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匯款</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方式收受或交付價金者，得免簽章</w:t>
            </w:r>
            <w:proofErr w:type="gramStart"/>
            <w:r w:rsidRPr="00E16FD3">
              <w:rPr>
                <w:rFonts w:ascii="標楷體" w:eastAsia="標楷體" w:hAnsi="標楷體" w:cs="細明體"/>
                <w:kern w:val="0"/>
                <w:szCs w:val="24"/>
              </w:rPr>
              <w:t>）</w:t>
            </w:r>
            <w:proofErr w:type="gramEnd"/>
            <w:r w:rsidRPr="00E16FD3">
              <w:rPr>
                <w:rFonts w:ascii="標楷體" w:eastAsia="標楷體" w:hAnsi="標楷體" w:cs="細明體"/>
                <w:kern w:val="0"/>
                <w:szCs w:val="24"/>
              </w:rPr>
              <w:t>，乙方應收受或交付甲方之價金，除依法令規章得以</w:t>
            </w:r>
            <w:proofErr w:type="gramStart"/>
            <w:r w:rsidRPr="00E16FD3">
              <w:rPr>
                <w:rFonts w:ascii="標楷體" w:eastAsia="標楷體" w:hAnsi="標楷體" w:cs="細明體"/>
                <w:kern w:val="0"/>
                <w:szCs w:val="24"/>
              </w:rPr>
              <w:t>匯</w:t>
            </w:r>
            <w:proofErr w:type="gramEnd"/>
            <w:r w:rsidRPr="00E16FD3">
              <w:rPr>
                <w:rFonts w:ascii="標楷體" w:eastAsia="標楷體" w:hAnsi="標楷體" w:cs="細明體"/>
                <w:kern w:val="0"/>
                <w:szCs w:val="24"/>
              </w:rPr>
              <w:t>撥（匯款）方式收受或交付價金者外，一律透過甲方在金融機構存款帳戶辦理；其應收或交付甲方之有價證券並依據證券集中保管事業業務操作辦法辦理。</w:t>
            </w:r>
          </w:p>
          <w:p w:rsidR="00C61622" w:rsidRPr="00E16FD3"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E16FD3">
              <w:rPr>
                <w:rFonts w:ascii="標楷體" w:eastAsia="標楷體" w:hAnsi="標楷體" w:cs="細明體"/>
                <w:kern w:val="0"/>
                <w:szCs w:val="24"/>
              </w:rPr>
              <w:t>乙方以經紀方式為櫃檯買賣者，應於成交日後第二營業日上午十時前向甲方收取買進證券之價金或賣出之證券</w:t>
            </w:r>
            <w:r w:rsidRPr="00987763">
              <w:rPr>
                <w:rFonts w:ascii="標楷體" w:eastAsia="標楷體" w:hAnsi="標楷體" w:hint="eastAsia"/>
                <w:szCs w:val="24"/>
              </w:rPr>
              <w:t>。</w:t>
            </w:r>
            <w:proofErr w:type="gramStart"/>
            <w:r w:rsidRPr="00E16FD3">
              <w:rPr>
                <w:rFonts w:ascii="標楷體" w:eastAsia="標楷體" w:hAnsi="標楷體" w:cs="細明體"/>
                <w:kern w:val="0"/>
                <w:szCs w:val="24"/>
              </w:rPr>
              <w:t>但甲方</w:t>
            </w:r>
            <w:proofErr w:type="gramEnd"/>
            <w:r w:rsidRPr="00E16FD3">
              <w:rPr>
                <w:rFonts w:ascii="標楷體" w:eastAsia="標楷體" w:hAnsi="標楷體" w:cs="細明體"/>
                <w:kern w:val="0"/>
                <w:szCs w:val="24"/>
              </w:rPr>
              <w:t>如為境外華僑或外國人者，乙方向櫃檯中心申報遲延給付結算，應依櫃檯中心訂定之「櫃檯買賣證券經紀商申報客戶遲延給付結算及違約案處理作業要點」規定辦理。</w:t>
            </w:r>
          </w:p>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C61622" w:rsidRPr="00867272"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C61622" w:rsidRPr="00987763" w:rsidRDefault="00C61622"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szCs w:val="24"/>
              </w:rPr>
            </w:pPr>
            <w:r w:rsidRPr="00E16FD3">
              <w:rPr>
                <w:rFonts w:ascii="標楷體" w:eastAsia="標楷體" w:hAnsi="標楷體" w:cs="細明體"/>
                <w:kern w:val="0"/>
                <w:szCs w:val="24"/>
              </w:rPr>
              <w:t>乙方接受信用交易之買賣委託，應於成交日後第二營業日上午十時前，向甲方依規定收取融資自備價款或融券保證金。</w:t>
            </w:r>
          </w:p>
        </w:tc>
        <w:tc>
          <w:tcPr>
            <w:tcW w:w="3251" w:type="dxa"/>
          </w:tcPr>
          <w:p w:rsidR="00C61622" w:rsidRPr="00987763" w:rsidRDefault="00C61622" w:rsidP="00514E52">
            <w:pPr>
              <w:jc w:val="both"/>
              <w:rPr>
                <w:rFonts w:ascii="標楷體" w:eastAsia="標楷體" w:hAnsi="標楷體"/>
                <w:szCs w:val="24"/>
              </w:rPr>
            </w:pPr>
            <w:r w:rsidRPr="00987763">
              <w:rPr>
                <w:rFonts w:ascii="標楷體" w:eastAsia="標楷體" w:hAnsi="標楷體" w:hint="eastAsia"/>
                <w:bCs/>
                <w:szCs w:val="24"/>
              </w:rPr>
              <w:t>開放客戶得從事有價證券當日沖銷，</w:t>
            </w:r>
            <w:proofErr w:type="gramStart"/>
            <w:r w:rsidRPr="00987763">
              <w:rPr>
                <w:rFonts w:ascii="標楷體" w:eastAsia="標楷體" w:hAnsi="標楷體" w:hint="eastAsia"/>
                <w:bCs/>
                <w:szCs w:val="24"/>
              </w:rPr>
              <w:t>爰</w:t>
            </w:r>
            <w:proofErr w:type="gramEnd"/>
            <w:r w:rsidRPr="00987763">
              <w:rPr>
                <w:rFonts w:ascii="標楷體" w:eastAsia="標楷體" w:hAnsi="標楷體" w:hint="eastAsia"/>
                <w:bCs/>
                <w:szCs w:val="24"/>
              </w:rPr>
              <w:t>修正第二項規定。</w:t>
            </w:r>
          </w:p>
        </w:tc>
      </w:tr>
    </w:tbl>
    <w:p w:rsidR="00223837" w:rsidRDefault="00223837">
      <w:bookmarkStart w:id="0" w:name="_GoBack"/>
      <w:bookmarkEnd w:id="0"/>
    </w:p>
    <w:sectPr w:rsidR="002238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22"/>
    <w:rsid w:val="00021701"/>
    <w:rsid w:val="00024E2D"/>
    <w:rsid w:val="000C2189"/>
    <w:rsid w:val="00110E98"/>
    <w:rsid w:val="00156703"/>
    <w:rsid w:val="002071B4"/>
    <w:rsid w:val="00222CD3"/>
    <w:rsid w:val="00223837"/>
    <w:rsid w:val="00234D38"/>
    <w:rsid w:val="0024269D"/>
    <w:rsid w:val="002710F4"/>
    <w:rsid w:val="002B251A"/>
    <w:rsid w:val="002E4AB1"/>
    <w:rsid w:val="002F38B3"/>
    <w:rsid w:val="00307CDF"/>
    <w:rsid w:val="003219A6"/>
    <w:rsid w:val="0037094F"/>
    <w:rsid w:val="003739CD"/>
    <w:rsid w:val="003A0698"/>
    <w:rsid w:val="003C294E"/>
    <w:rsid w:val="003F442F"/>
    <w:rsid w:val="00426E82"/>
    <w:rsid w:val="00485597"/>
    <w:rsid w:val="004A7715"/>
    <w:rsid w:val="004F0A2D"/>
    <w:rsid w:val="00503EAE"/>
    <w:rsid w:val="00561BDC"/>
    <w:rsid w:val="005B3E26"/>
    <w:rsid w:val="005C2BE8"/>
    <w:rsid w:val="00607DC8"/>
    <w:rsid w:val="00621198"/>
    <w:rsid w:val="00631C9F"/>
    <w:rsid w:val="006A4EE2"/>
    <w:rsid w:val="006E184C"/>
    <w:rsid w:val="006E37C8"/>
    <w:rsid w:val="006F62E5"/>
    <w:rsid w:val="00764704"/>
    <w:rsid w:val="007707C0"/>
    <w:rsid w:val="007862A0"/>
    <w:rsid w:val="007E2E03"/>
    <w:rsid w:val="007E5C53"/>
    <w:rsid w:val="00804CFB"/>
    <w:rsid w:val="008426EA"/>
    <w:rsid w:val="00854084"/>
    <w:rsid w:val="008540E5"/>
    <w:rsid w:val="008811CC"/>
    <w:rsid w:val="008C4C92"/>
    <w:rsid w:val="008D6C03"/>
    <w:rsid w:val="008F563A"/>
    <w:rsid w:val="0091098E"/>
    <w:rsid w:val="00922761"/>
    <w:rsid w:val="00922E88"/>
    <w:rsid w:val="00962FFF"/>
    <w:rsid w:val="009A10F1"/>
    <w:rsid w:val="00A3055D"/>
    <w:rsid w:val="00A656CF"/>
    <w:rsid w:val="00A94F9C"/>
    <w:rsid w:val="00AC1FB7"/>
    <w:rsid w:val="00AF3F91"/>
    <w:rsid w:val="00B252BA"/>
    <w:rsid w:val="00B50B91"/>
    <w:rsid w:val="00B74F65"/>
    <w:rsid w:val="00BA4559"/>
    <w:rsid w:val="00C01DDC"/>
    <w:rsid w:val="00C61622"/>
    <w:rsid w:val="00C717EB"/>
    <w:rsid w:val="00C7208D"/>
    <w:rsid w:val="00C86235"/>
    <w:rsid w:val="00D158B2"/>
    <w:rsid w:val="00D8731B"/>
    <w:rsid w:val="00DA4085"/>
    <w:rsid w:val="00E250A3"/>
    <w:rsid w:val="00E65287"/>
    <w:rsid w:val="00EB1E2A"/>
    <w:rsid w:val="00EC48EA"/>
    <w:rsid w:val="00F24267"/>
    <w:rsid w:val="00F50BA9"/>
    <w:rsid w:val="00F562AA"/>
    <w:rsid w:val="00F70334"/>
    <w:rsid w:val="00FB0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2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2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Company>Hewlett-Packard Company</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陳文怡</dc:creator>
  <cp:lastModifiedBy>陳文怡</cp:lastModifiedBy>
  <cp:revision>1</cp:revision>
  <dcterms:created xsi:type="dcterms:W3CDTF">2014-06-25T07:28:00Z</dcterms:created>
  <dcterms:modified xsi:type="dcterms:W3CDTF">2014-06-25T07:29:00Z</dcterms:modified>
</cp:coreProperties>
</file>